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50" w:rsidRPr="00C63C4F" w:rsidRDefault="00583050" w:rsidP="000D160D">
      <w:pPr>
        <w:jc w:val="center"/>
        <w:rPr>
          <w:rFonts w:asciiTheme="minorHAnsi" w:hAnsiTheme="minorHAnsi"/>
          <w:b/>
          <w:sz w:val="20"/>
          <w:szCs w:val="20"/>
          <w:lang w:val="pt-BR"/>
        </w:rPr>
      </w:pPr>
      <w:bookmarkStart w:id="0" w:name="_GoBack"/>
      <w:bookmarkEnd w:id="0"/>
    </w:p>
    <w:p w:rsidR="002130EE" w:rsidRPr="00C63C4F" w:rsidRDefault="002130EE" w:rsidP="000D160D">
      <w:pPr>
        <w:jc w:val="center"/>
        <w:rPr>
          <w:rFonts w:asciiTheme="minorHAnsi" w:hAnsiTheme="minorHAnsi"/>
          <w:b/>
          <w:sz w:val="20"/>
          <w:szCs w:val="20"/>
          <w:lang w:val="pt-BR"/>
        </w:rPr>
      </w:pPr>
      <w:r w:rsidRPr="00C63C4F">
        <w:rPr>
          <w:rFonts w:asciiTheme="minorHAnsi" w:hAnsiTheme="minorHAnsi"/>
          <w:b/>
          <w:sz w:val="20"/>
          <w:szCs w:val="20"/>
          <w:lang w:val="pt-BR"/>
        </w:rPr>
        <w:t>Anexo N° 1</w:t>
      </w:r>
    </w:p>
    <w:p w:rsidR="002130EE" w:rsidRPr="00C63C4F" w:rsidRDefault="002130EE" w:rsidP="000D160D">
      <w:pPr>
        <w:jc w:val="center"/>
        <w:rPr>
          <w:rFonts w:asciiTheme="minorHAnsi" w:hAnsiTheme="minorHAnsi"/>
          <w:b/>
          <w:sz w:val="14"/>
          <w:szCs w:val="20"/>
          <w:lang w:val="pt-BR"/>
        </w:rPr>
      </w:pPr>
    </w:p>
    <w:tbl>
      <w:tblPr>
        <w:tblW w:w="9209" w:type="dxa"/>
        <w:tblInd w:w="75" w:type="dxa"/>
        <w:tblLayout w:type="fixed"/>
        <w:tblCellMar>
          <w:top w:w="6" w:type="dxa"/>
          <w:left w:w="11" w:type="dxa"/>
          <w:bottom w:w="6" w:type="dxa"/>
          <w:right w:w="28" w:type="dxa"/>
        </w:tblCellMar>
        <w:tblLook w:val="04A0"/>
      </w:tblPr>
      <w:tblGrid>
        <w:gridCol w:w="643"/>
        <w:gridCol w:w="816"/>
        <w:gridCol w:w="1367"/>
        <w:gridCol w:w="1564"/>
        <w:gridCol w:w="508"/>
        <w:gridCol w:w="484"/>
        <w:gridCol w:w="898"/>
        <w:gridCol w:w="519"/>
        <w:gridCol w:w="1134"/>
        <w:gridCol w:w="1276"/>
      </w:tblGrid>
      <w:tr w:rsidR="00EB262E" w:rsidRPr="00C63C4F" w:rsidTr="000A4B1E">
        <w:trPr>
          <w:trHeight w:val="362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B262E" w:rsidRPr="00C63C4F" w:rsidRDefault="00B33158" w:rsidP="00CC5073">
            <w:pPr>
              <w:jc w:val="center"/>
              <w:rPr>
                <w:rFonts w:ascii="Calibri" w:hAnsi="Calibri"/>
                <w:b/>
                <w:bCs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sz w:val="22"/>
                <w:lang w:val="es-PE" w:eastAsia="es-PE"/>
              </w:rPr>
              <w:t xml:space="preserve">Informe </w:t>
            </w:r>
            <w:proofErr w:type="spellStart"/>
            <w:r w:rsidR="00CC5073" w:rsidRPr="00C63C4F">
              <w:rPr>
                <w:rFonts w:ascii="Calibri" w:hAnsi="Calibri"/>
                <w:b/>
                <w:bCs/>
                <w:sz w:val="22"/>
                <w:lang w:val="es-PE" w:eastAsia="es-PE"/>
              </w:rPr>
              <w:t>sustentatorio</w:t>
            </w:r>
            <w:proofErr w:type="spellEnd"/>
            <w:r w:rsidRPr="00C63C4F">
              <w:rPr>
                <w:rFonts w:ascii="Calibri" w:hAnsi="Calibri"/>
                <w:b/>
                <w:bCs/>
                <w:sz w:val="22"/>
                <w:lang w:val="es-PE" w:eastAsia="es-PE"/>
              </w:rPr>
              <w:t xml:space="preserve"> para emplear la comparación de precios </w:t>
            </w:r>
          </w:p>
        </w:tc>
      </w:tr>
      <w:tr w:rsidR="00EB262E" w:rsidRPr="00C63C4F" w:rsidTr="000A4B1E">
        <w:trPr>
          <w:trHeight w:val="40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B262E" w:rsidRPr="00C63C4F" w:rsidRDefault="00AB4FAF" w:rsidP="00B331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Datos del documento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 xml:space="preserve">Número de informe 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EB262E" w:rsidRPr="00C63C4F" w:rsidTr="000A4B1E">
        <w:trPr>
          <w:trHeight w:val="40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Fecha de informe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EB262E" w:rsidRPr="00C63C4F" w:rsidTr="000A4B1E">
        <w:trPr>
          <w:trHeight w:val="452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Objeto de la contratación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Objeto de la contratación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2E" w:rsidRPr="00C63C4F" w:rsidRDefault="00EB262E" w:rsidP="00EB262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Bienes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2E" w:rsidRPr="00C63C4F" w:rsidRDefault="00EB262E" w:rsidP="00EB262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Servicios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EB262E" w:rsidRPr="00C63C4F" w:rsidTr="007910ED">
        <w:trPr>
          <w:trHeight w:val="53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2E" w:rsidRPr="00C63C4F" w:rsidRDefault="00EB262E" w:rsidP="007910ED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Descripción del objeto de</w:t>
            </w:r>
            <w:r w:rsidR="007910ED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l</w:t>
            </w:r>
            <w:r w:rsidR="007910ED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a</w:t>
            </w: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 xml:space="preserve"> contrat</w:t>
            </w:r>
            <w:r w:rsidR="007910ED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ación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EB262E" w:rsidRPr="00C63C4F" w:rsidTr="000A4B1E">
        <w:trPr>
          <w:trHeight w:val="28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5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B262E" w:rsidRPr="00C63C4F" w:rsidRDefault="00B33158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Antecedentes</w:t>
            </w:r>
          </w:p>
        </w:tc>
      </w:tr>
      <w:tr w:rsidR="00EB262E" w:rsidRPr="00C63C4F" w:rsidTr="000A4B1E">
        <w:trPr>
          <w:trHeight w:val="40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5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EB262E" w:rsidRPr="00C63C4F" w:rsidTr="000A4B1E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5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B262E" w:rsidRPr="00C63C4F" w:rsidTr="000A4B1E">
        <w:trPr>
          <w:trHeight w:val="25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5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B262E" w:rsidRPr="00C63C4F" w:rsidTr="000A4B1E">
        <w:trPr>
          <w:trHeight w:val="33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6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B262E" w:rsidRPr="00C63C4F" w:rsidRDefault="00B33158" w:rsidP="0072433C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Verificación del cumplimiento de las condiciones en los bienes y/o servicios en general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B262E" w:rsidRPr="00ED7A61" w:rsidRDefault="00EB262E" w:rsidP="00EB262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PE" w:eastAsia="es-PE"/>
              </w:rPr>
            </w:pPr>
            <w:r w:rsidRPr="00ED7A61">
              <w:rPr>
                <w:rFonts w:ascii="Calibri" w:hAnsi="Calibri"/>
                <w:b/>
                <w:color w:val="000000"/>
                <w:sz w:val="20"/>
                <w:szCs w:val="20"/>
                <w:lang w:val="es-PE" w:eastAsia="es-PE"/>
              </w:rPr>
              <w:t>¿Cumple con la condición?</w:t>
            </w:r>
          </w:p>
        </w:tc>
      </w:tr>
      <w:tr w:rsidR="00AF781B" w:rsidRPr="00C63C4F" w:rsidTr="000A4B1E">
        <w:trPr>
          <w:trHeight w:val="3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</w:t>
            </w:r>
            <w:r w:rsidR="005A2A8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í</w:t>
            </w: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Cumple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No Cumple</w:t>
            </w:r>
          </w:p>
        </w:tc>
      </w:tr>
      <w:tr w:rsidR="00EB262E" w:rsidRPr="00C63C4F" w:rsidTr="000A4B1E">
        <w:trPr>
          <w:trHeight w:val="36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a.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Disponibilidad inmediata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EB262E" w:rsidRPr="00C63C4F" w:rsidTr="000A4B1E">
        <w:trPr>
          <w:trHeight w:val="737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B262E" w:rsidRPr="00C63C4F" w:rsidRDefault="00EB262E" w:rsidP="00EB262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PE" w:eastAsia="es-PE"/>
              </w:rPr>
            </w:pPr>
            <w:r w:rsidRPr="00C63C4F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PE" w:eastAsia="es-PE"/>
              </w:rPr>
              <w:t>De ser afirmativa, detallar el análisis desarrollado para sustentar el cumplimiento de la condición.</w:t>
            </w:r>
          </w:p>
        </w:tc>
      </w:tr>
      <w:tr w:rsidR="00EB262E" w:rsidRPr="00C63C4F" w:rsidTr="000A4B1E">
        <w:trPr>
          <w:trHeight w:val="36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b.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Fáciles de obtener en el mercado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EB262E" w:rsidRPr="00C63C4F" w:rsidTr="000A4B1E">
        <w:trPr>
          <w:trHeight w:val="737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B262E" w:rsidRPr="00C63C4F" w:rsidRDefault="00EB262E" w:rsidP="00EB262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PE" w:eastAsia="es-PE"/>
              </w:rPr>
            </w:pPr>
            <w:r w:rsidRPr="00C63C4F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PE" w:eastAsia="es-PE"/>
              </w:rPr>
              <w:t>De ser afirmativa, detallar el análisis desarrollado para sustentar el cumplimiento de la condición.</w:t>
            </w:r>
          </w:p>
        </w:tc>
      </w:tr>
      <w:tr w:rsidR="00EB262E" w:rsidRPr="00C63C4F" w:rsidTr="000A4B1E">
        <w:trPr>
          <w:trHeight w:val="36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c.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 xml:space="preserve">Se comercialicen bajo una oferta estándar establecida por el mercado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EB262E" w:rsidRPr="00C63C4F" w:rsidTr="000A4B1E">
        <w:trPr>
          <w:trHeight w:val="737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B262E" w:rsidRPr="00C63C4F" w:rsidRDefault="00EB262E" w:rsidP="00EB262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PE" w:eastAsia="es-PE"/>
              </w:rPr>
            </w:pPr>
            <w:r w:rsidRPr="00C63C4F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PE" w:eastAsia="es-PE"/>
              </w:rPr>
              <w:t>De ser afirmativa, detallar el análisis desarrollado para sustentar el cumplimiento de la condición.</w:t>
            </w:r>
          </w:p>
        </w:tc>
      </w:tr>
      <w:tr w:rsidR="00EB262E" w:rsidRPr="00C63C4F" w:rsidTr="000A4B1E">
        <w:trPr>
          <w:trHeight w:val="51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d.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62E" w:rsidRPr="00C63C4F" w:rsidRDefault="00EB262E" w:rsidP="0038031D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 xml:space="preserve">Que no se fabrican, producen, suministran o prestan siguiendo la descripción </w:t>
            </w:r>
            <w:r w:rsidR="007762A0"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 xml:space="preserve">particular </w:t>
            </w: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o instrucciones dadas por la Entidad contratante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EB262E" w:rsidRPr="00C63C4F" w:rsidTr="000A4B1E">
        <w:trPr>
          <w:trHeight w:val="737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B262E" w:rsidRPr="00C63C4F" w:rsidRDefault="00EB262E" w:rsidP="00EB262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PE" w:eastAsia="es-PE"/>
              </w:rPr>
            </w:pPr>
            <w:r w:rsidRPr="00C63C4F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PE" w:eastAsia="es-PE"/>
              </w:rPr>
              <w:t>De ser afirmativa, detallar el análisis desarrollado para sustentar el cumplimiento de la condición.</w:t>
            </w:r>
          </w:p>
        </w:tc>
      </w:tr>
      <w:tr w:rsidR="00EB262E" w:rsidRPr="00C63C4F" w:rsidTr="000A4B1E">
        <w:trPr>
          <w:trHeight w:val="43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5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2E" w:rsidRPr="00C63C4F" w:rsidRDefault="00EB262E" w:rsidP="00CC5073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Nota: </w:t>
            </w: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 xml:space="preserve">De no cumplir con una de las condiciones señaladas, no procede emplear la </w:t>
            </w:r>
            <w:r w:rsidR="00CC5073"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c</w:t>
            </w: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omparación de precios.</w:t>
            </w:r>
          </w:p>
        </w:tc>
      </w:tr>
      <w:tr w:rsidR="00EB262E" w:rsidRPr="00C63C4F" w:rsidTr="000A4B1E">
        <w:trPr>
          <w:trHeight w:val="28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85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B262E" w:rsidRPr="00C63C4F" w:rsidRDefault="005E096A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Observaciones</w:t>
            </w:r>
          </w:p>
        </w:tc>
      </w:tr>
      <w:tr w:rsidR="00EB262E" w:rsidRPr="00C63C4F" w:rsidTr="000A4B1E">
        <w:trPr>
          <w:trHeight w:val="6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5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EB262E" w:rsidRPr="00C63C4F" w:rsidTr="000A4B1E">
        <w:trPr>
          <w:trHeight w:val="244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5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B262E" w:rsidRPr="00C63C4F" w:rsidTr="000A4B1E">
        <w:trPr>
          <w:trHeight w:val="902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B262E" w:rsidRPr="00C63C4F" w:rsidRDefault="00EB262E" w:rsidP="00EB262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85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EB262E" w:rsidRPr="00C63C4F" w:rsidTr="005E096A">
        <w:trPr>
          <w:trHeight w:val="408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2E" w:rsidRPr="00C63C4F" w:rsidRDefault="00EB262E" w:rsidP="00EB26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85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B262E" w:rsidRPr="00C63C4F" w:rsidRDefault="005E096A" w:rsidP="005E09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63C4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Nombre, firma y sello del funcionario responsable del órgano encargado de las contrataciones</w:t>
            </w:r>
          </w:p>
        </w:tc>
      </w:tr>
    </w:tbl>
    <w:p w:rsidR="008230EB" w:rsidRPr="00C63C4F" w:rsidRDefault="008230EB">
      <w:pPr>
        <w:spacing w:after="160" w:line="259" w:lineRule="auto"/>
        <w:rPr>
          <w:rFonts w:asciiTheme="minorHAnsi" w:hAnsiTheme="minorHAnsi"/>
          <w:b/>
          <w:sz w:val="20"/>
          <w:szCs w:val="20"/>
          <w:lang w:val="es-PE"/>
        </w:rPr>
      </w:pPr>
      <w:r w:rsidRPr="00C63C4F">
        <w:rPr>
          <w:rFonts w:asciiTheme="minorHAnsi" w:hAnsiTheme="minorHAnsi"/>
          <w:b/>
          <w:sz w:val="20"/>
          <w:szCs w:val="20"/>
          <w:lang w:val="es-PE"/>
        </w:rPr>
        <w:br w:type="page"/>
      </w:r>
    </w:p>
    <w:p w:rsidR="00583050" w:rsidRDefault="00583050" w:rsidP="00085755">
      <w:pPr>
        <w:jc w:val="both"/>
        <w:rPr>
          <w:rFonts w:asciiTheme="minorHAnsi" w:hAnsiTheme="minorHAnsi"/>
          <w:b/>
          <w:sz w:val="20"/>
          <w:szCs w:val="20"/>
          <w:lang w:val="es-PE"/>
        </w:rPr>
      </w:pPr>
    </w:p>
    <w:p w:rsidR="0029005E" w:rsidRDefault="0029005E" w:rsidP="00085755">
      <w:pPr>
        <w:jc w:val="both"/>
        <w:rPr>
          <w:rFonts w:asciiTheme="minorHAnsi" w:hAnsiTheme="minorHAnsi"/>
          <w:b/>
          <w:sz w:val="20"/>
          <w:szCs w:val="20"/>
          <w:lang w:val="es-PE"/>
        </w:rPr>
      </w:pPr>
    </w:p>
    <w:p w:rsidR="00085755" w:rsidRDefault="00085755" w:rsidP="00085755">
      <w:pPr>
        <w:jc w:val="both"/>
        <w:rPr>
          <w:rFonts w:asciiTheme="minorHAnsi" w:hAnsiTheme="minorHAnsi"/>
          <w:b/>
          <w:sz w:val="20"/>
          <w:szCs w:val="20"/>
          <w:lang w:val="es-PE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060"/>
        <w:gridCol w:w="8149"/>
      </w:tblGrid>
      <w:tr w:rsidR="00085755" w:rsidRPr="00085755" w:rsidTr="00085755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Instrucciones para el llenado del formato del anexo N° 1</w:t>
            </w:r>
          </w:p>
        </w:tc>
      </w:tr>
      <w:tr w:rsidR="00085755" w:rsidRPr="00085755" w:rsidTr="00085755">
        <w:trPr>
          <w:trHeight w:val="30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5755" w:rsidRPr="00085755" w:rsidRDefault="00085755" w:rsidP="00085755">
            <w:pPr>
              <w:rPr>
                <w:rFonts w:ascii="Calibri" w:hAnsi="Calibri"/>
                <w:sz w:val="20"/>
                <w:szCs w:val="20"/>
                <w:lang w:val="es-PE" w:eastAsia="es-PE"/>
              </w:rPr>
            </w:pP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Campo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Información a consignar</w:t>
            </w:r>
          </w:p>
        </w:tc>
      </w:tr>
      <w:tr w:rsidR="00085755" w:rsidRPr="00085755" w:rsidTr="00DA595F">
        <w:trPr>
          <w:trHeight w:val="8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4229ED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Registrar el número y fecha de emisión del Informe </w:t>
            </w:r>
            <w:proofErr w:type="spellStart"/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sustentatorio</w:t>
            </w:r>
            <w:proofErr w:type="spellEnd"/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para emplear la comparación de precios. </w:t>
            </w:r>
            <w:r w:rsidR="00DA595F" w:rsidRPr="00DA595F">
              <w:rPr>
                <w:rFonts w:ascii="Calibri" w:hAnsi="Calibri"/>
                <w:sz w:val="20"/>
                <w:szCs w:val="20"/>
                <w:lang w:val="es-PE" w:eastAsia="es-PE"/>
              </w:rPr>
              <w:t>De ser necesario, combinar letras y números para una mejor identificación del documento.</w:t>
            </w:r>
          </w:p>
        </w:tc>
      </w:tr>
      <w:tr w:rsidR="00085755" w:rsidRPr="00085755" w:rsidTr="0008575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7910ED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Indicar si el objeto de contratación corresponde a bienes o servicios, </w:t>
            </w:r>
            <w:r w:rsidR="002D288D">
              <w:rPr>
                <w:rFonts w:ascii="Calibri" w:hAnsi="Calibri"/>
                <w:sz w:val="20"/>
                <w:szCs w:val="20"/>
                <w:lang w:val="es-PE" w:eastAsia="es-PE"/>
              </w:rPr>
              <w:t>describiendo además</w:t>
            </w: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el objeto de</w:t>
            </w:r>
            <w:r w:rsidR="007910ED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</w:t>
            </w: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l</w:t>
            </w:r>
            <w:r w:rsidR="007910ED">
              <w:rPr>
                <w:rFonts w:ascii="Calibri" w:hAnsi="Calibri"/>
                <w:sz w:val="20"/>
                <w:szCs w:val="20"/>
                <w:lang w:val="es-PE" w:eastAsia="es-PE"/>
              </w:rPr>
              <w:t>a</w:t>
            </w: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contrat</w:t>
            </w:r>
            <w:r w:rsidR="007910ED">
              <w:rPr>
                <w:rFonts w:ascii="Calibri" w:hAnsi="Calibri"/>
                <w:sz w:val="20"/>
                <w:szCs w:val="20"/>
                <w:lang w:val="es-PE" w:eastAsia="es-PE"/>
              </w:rPr>
              <w:t>ación</w:t>
            </w: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.</w:t>
            </w:r>
          </w:p>
        </w:tc>
      </w:tr>
      <w:tr w:rsidR="00085755" w:rsidRPr="00085755" w:rsidTr="00085755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Registrar los antecedentes que la Entidad considere conveniente.  </w:t>
            </w:r>
          </w:p>
        </w:tc>
      </w:tr>
      <w:tr w:rsidR="00085755" w:rsidRPr="00085755" w:rsidTr="00085755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Default="002D288D" w:rsidP="002D288D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Analizar el cumplimiento de cada una de las condiciones para emplear la comparación de precios. En tal sentido, la Entidad debe indicar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si cumple o no cumple 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cada una de </w:t>
            </w:r>
            <w:r w:rsidR="007910ED">
              <w:rPr>
                <w:rFonts w:ascii="Calibri" w:hAnsi="Calibri"/>
                <w:sz w:val="20"/>
                <w:szCs w:val="20"/>
                <w:lang w:val="es-PE" w:eastAsia="es-PE"/>
              </w:rPr>
              <w:t>dichas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condiciones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y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>,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de ser afirmativa la respuesta, 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consignar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el análisis desarrollado para sustentar el cumplimiento de cada una de las condiciones.</w:t>
            </w:r>
          </w:p>
          <w:p w:rsidR="002D288D" w:rsidRDefault="002D288D" w:rsidP="002D288D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</w:p>
          <w:p w:rsidR="002D288D" w:rsidRPr="00085755" w:rsidRDefault="00A307B4" w:rsidP="00A307B4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>Para tales efectos, l</w:t>
            </w:r>
            <w:r w:rsidR="002D288D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a Entidad debe 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>tomar en cuenta</w:t>
            </w:r>
            <w:r w:rsidR="002D288D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las definiciones consignadas en el numeral 6.1 de la Directiva, así como el listado de supuestos en que no corresponde emplear la comparaci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ón de precios mencionados </w:t>
            </w:r>
            <w:r w:rsidR="002D288D">
              <w:rPr>
                <w:rFonts w:ascii="Calibri" w:hAnsi="Calibri"/>
                <w:sz w:val="20"/>
                <w:szCs w:val="20"/>
                <w:lang w:val="es-PE" w:eastAsia="es-PE"/>
              </w:rPr>
              <w:t>en el numeral 6.2 de la Directiva.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Registrar las observaciones que la Entidad estime conveniente.</w:t>
            </w:r>
          </w:p>
        </w:tc>
      </w:tr>
      <w:tr w:rsidR="00085755" w:rsidRPr="00085755" w:rsidTr="0008575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Precisar el nombre, firma y sello del funcionario responsable del órgano encargado de las contrataciones</w:t>
            </w:r>
          </w:p>
        </w:tc>
      </w:tr>
    </w:tbl>
    <w:p w:rsidR="00085755" w:rsidRDefault="00085755" w:rsidP="00085755">
      <w:pPr>
        <w:jc w:val="both"/>
        <w:rPr>
          <w:rFonts w:asciiTheme="minorHAnsi" w:hAnsiTheme="minorHAnsi"/>
          <w:b/>
          <w:sz w:val="20"/>
          <w:szCs w:val="20"/>
          <w:lang w:val="es-PE"/>
        </w:rPr>
      </w:pPr>
    </w:p>
    <w:p w:rsidR="00085755" w:rsidRDefault="00085755" w:rsidP="00085755">
      <w:pPr>
        <w:jc w:val="both"/>
        <w:rPr>
          <w:rFonts w:asciiTheme="minorHAnsi" w:hAnsiTheme="minorHAnsi"/>
          <w:b/>
          <w:sz w:val="20"/>
          <w:szCs w:val="20"/>
          <w:lang w:val="es-PE"/>
        </w:rPr>
      </w:pPr>
    </w:p>
    <w:p w:rsidR="00085755" w:rsidRDefault="00085755" w:rsidP="00085755">
      <w:pPr>
        <w:jc w:val="both"/>
        <w:rPr>
          <w:rFonts w:asciiTheme="minorHAnsi" w:hAnsiTheme="minorHAnsi"/>
          <w:b/>
          <w:sz w:val="20"/>
          <w:szCs w:val="20"/>
          <w:lang w:val="es-PE"/>
        </w:rPr>
      </w:pPr>
    </w:p>
    <w:p w:rsidR="00085755" w:rsidRPr="00C63C4F" w:rsidRDefault="00085755" w:rsidP="00085755">
      <w:pPr>
        <w:jc w:val="both"/>
        <w:rPr>
          <w:rFonts w:asciiTheme="minorHAnsi" w:hAnsiTheme="minorHAnsi"/>
          <w:b/>
          <w:sz w:val="20"/>
          <w:szCs w:val="20"/>
          <w:lang w:val="es-PE"/>
        </w:rPr>
      </w:pPr>
    </w:p>
    <w:sectPr w:rsidR="00085755" w:rsidRPr="00C63C4F" w:rsidSect="00711D5C">
      <w:pgSz w:w="11906" w:h="16838" w:code="9"/>
      <w:pgMar w:top="1276" w:right="1418" w:bottom="851" w:left="1531" w:header="74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DA" w:rsidRDefault="00C94ADA" w:rsidP="006D1FD0">
      <w:r>
        <w:separator/>
      </w:r>
    </w:p>
  </w:endnote>
  <w:endnote w:type="continuationSeparator" w:id="0">
    <w:p w:rsidR="00C94ADA" w:rsidRDefault="00C94ADA" w:rsidP="006D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DA" w:rsidRDefault="00C94ADA" w:rsidP="006D1FD0">
      <w:r>
        <w:separator/>
      </w:r>
    </w:p>
  </w:footnote>
  <w:footnote w:type="continuationSeparator" w:id="0">
    <w:p w:rsidR="00C94ADA" w:rsidRDefault="00C94ADA" w:rsidP="006D1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EAA"/>
    <w:multiLevelType w:val="hybridMultilevel"/>
    <w:tmpl w:val="ADF4DFAA"/>
    <w:lvl w:ilvl="0" w:tplc="1ED2B8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41206"/>
    <w:multiLevelType w:val="hybridMultilevel"/>
    <w:tmpl w:val="3170088C"/>
    <w:lvl w:ilvl="0" w:tplc="FC3AF4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722B36"/>
    <w:multiLevelType w:val="hybridMultilevel"/>
    <w:tmpl w:val="05FCE2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9268EB"/>
    <w:multiLevelType w:val="hybridMultilevel"/>
    <w:tmpl w:val="7F7A038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BA27BC7"/>
    <w:multiLevelType w:val="hybridMultilevel"/>
    <w:tmpl w:val="A2FAB87A"/>
    <w:lvl w:ilvl="0" w:tplc="B90A64F0">
      <w:start w:val="1"/>
      <w:numFmt w:val="decimal"/>
      <w:lvlText w:val="10.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6250"/>
    <w:multiLevelType w:val="hybridMultilevel"/>
    <w:tmpl w:val="01022034"/>
    <w:lvl w:ilvl="0" w:tplc="00620842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47210"/>
    <w:rsid w:val="00022A01"/>
    <w:rsid w:val="00026DB8"/>
    <w:rsid w:val="00035F72"/>
    <w:rsid w:val="00036692"/>
    <w:rsid w:val="00046B2F"/>
    <w:rsid w:val="00072B25"/>
    <w:rsid w:val="00085755"/>
    <w:rsid w:val="00094D00"/>
    <w:rsid w:val="000A3922"/>
    <w:rsid w:val="000A4B1E"/>
    <w:rsid w:val="000B569B"/>
    <w:rsid w:val="000C4656"/>
    <w:rsid w:val="000D160D"/>
    <w:rsid w:val="000D600C"/>
    <w:rsid w:val="000D7BF2"/>
    <w:rsid w:val="000F0DCE"/>
    <w:rsid w:val="000F4F5B"/>
    <w:rsid w:val="00114AA5"/>
    <w:rsid w:val="001177F8"/>
    <w:rsid w:val="001260AA"/>
    <w:rsid w:val="00130FA6"/>
    <w:rsid w:val="00135CBA"/>
    <w:rsid w:val="0015309A"/>
    <w:rsid w:val="001543B7"/>
    <w:rsid w:val="00173933"/>
    <w:rsid w:val="00175B1B"/>
    <w:rsid w:val="001818C1"/>
    <w:rsid w:val="001855BC"/>
    <w:rsid w:val="00195C1A"/>
    <w:rsid w:val="00197756"/>
    <w:rsid w:val="001B5931"/>
    <w:rsid w:val="001C047A"/>
    <w:rsid w:val="001F0686"/>
    <w:rsid w:val="0020073A"/>
    <w:rsid w:val="002130EE"/>
    <w:rsid w:val="00224C28"/>
    <w:rsid w:val="00224CFB"/>
    <w:rsid w:val="002348B1"/>
    <w:rsid w:val="0023555D"/>
    <w:rsid w:val="00242651"/>
    <w:rsid w:val="0025194C"/>
    <w:rsid w:val="002565CA"/>
    <w:rsid w:val="002646B6"/>
    <w:rsid w:val="002715DE"/>
    <w:rsid w:val="00287A2B"/>
    <w:rsid w:val="0029005E"/>
    <w:rsid w:val="0029266F"/>
    <w:rsid w:val="002B18E6"/>
    <w:rsid w:val="002C25AD"/>
    <w:rsid w:val="002D288D"/>
    <w:rsid w:val="002D5889"/>
    <w:rsid w:val="002E659C"/>
    <w:rsid w:val="002E7867"/>
    <w:rsid w:val="0030668D"/>
    <w:rsid w:val="00306B79"/>
    <w:rsid w:val="00307EB9"/>
    <w:rsid w:val="00331C70"/>
    <w:rsid w:val="00332CE2"/>
    <w:rsid w:val="00332D76"/>
    <w:rsid w:val="0033658A"/>
    <w:rsid w:val="00336A56"/>
    <w:rsid w:val="0036231D"/>
    <w:rsid w:val="0036445A"/>
    <w:rsid w:val="00372541"/>
    <w:rsid w:val="00372740"/>
    <w:rsid w:val="0038031D"/>
    <w:rsid w:val="0038244E"/>
    <w:rsid w:val="003953F4"/>
    <w:rsid w:val="003E0EC9"/>
    <w:rsid w:val="003E6FA2"/>
    <w:rsid w:val="003F33AE"/>
    <w:rsid w:val="00407EDE"/>
    <w:rsid w:val="00413C88"/>
    <w:rsid w:val="00413FBF"/>
    <w:rsid w:val="004173D8"/>
    <w:rsid w:val="00421B58"/>
    <w:rsid w:val="004229ED"/>
    <w:rsid w:val="00451C06"/>
    <w:rsid w:val="00456BAE"/>
    <w:rsid w:val="00467644"/>
    <w:rsid w:val="0047230A"/>
    <w:rsid w:val="00481724"/>
    <w:rsid w:val="00481BD0"/>
    <w:rsid w:val="00496E3A"/>
    <w:rsid w:val="004A51A4"/>
    <w:rsid w:val="004A736F"/>
    <w:rsid w:val="004B6B7A"/>
    <w:rsid w:val="004C5CCF"/>
    <w:rsid w:val="004E0F01"/>
    <w:rsid w:val="004E6AB4"/>
    <w:rsid w:val="00511EED"/>
    <w:rsid w:val="00545B87"/>
    <w:rsid w:val="00547210"/>
    <w:rsid w:val="00555EEC"/>
    <w:rsid w:val="00576EF2"/>
    <w:rsid w:val="00583050"/>
    <w:rsid w:val="00583DB6"/>
    <w:rsid w:val="0058440F"/>
    <w:rsid w:val="005868CE"/>
    <w:rsid w:val="005A2A8F"/>
    <w:rsid w:val="005A5936"/>
    <w:rsid w:val="005D0BCB"/>
    <w:rsid w:val="005E096A"/>
    <w:rsid w:val="00600281"/>
    <w:rsid w:val="00600707"/>
    <w:rsid w:val="00603976"/>
    <w:rsid w:val="00604695"/>
    <w:rsid w:val="006075E5"/>
    <w:rsid w:val="00615884"/>
    <w:rsid w:val="00617922"/>
    <w:rsid w:val="00621AB6"/>
    <w:rsid w:val="006414AA"/>
    <w:rsid w:val="00643F04"/>
    <w:rsid w:val="00644260"/>
    <w:rsid w:val="006655E1"/>
    <w:rsid w:val="00673162"/>
    <w:rsid w:val="006774C7"/>
    <w:rsid w:val="0068257C"/>
    <w:rsid w:val="006850E7"/>
    <w:rsid w:val="00695A01"/>
    <w:rsid w:val="006A2449"/>
    <w:rsid w:val="006B2B8A"/>
    <w:rsid w:val="006B5CDB"/>
    <w:rsid w:val="006B5F7F"/>
    <w:rsid w:val="006B6622"/>
    <w:rsid w:val="006C18AF"/>
    <w:rsid w:val="006C7319"/>
    <w:rsid w:val="006D1FD0"/>
    <w:rsid w:val="006D3065"/>
    <w:rsid w:val="006E4F90"/>
    <w:rsid w:val="006F089B"/>
    <w:rsid w:val="006F78D0"/>
    <w:rsid w:val="0070176A"/>
    <w:rsid w:val="00711D5C"/>
    <w:rsid w:val="00716480"/>
    <w:rsid w:val="007208EB"/>
    <w:rsid w:val="0072433C"/>
    <w:rsid w:val="00726817"/>
    <w:rsid w:val="00726934"/>
    <w:rsid w:val="00727F5E"/>
    <w:rsid w:val="00731F63"/>
    <w:rsid w:val="0073400D"/>
    <w:rsid w:val="00753332"/>
    <w:rsid w:val="00761ECA"/>
    <w:rsid w:val="0076709F"/>
    <w:rsid w:val="00775CE5"/>
    <w:rsid w:val="007762A0"/>
    <w:rsid w:val="007808AA"/>
    <w:rsid w:val="00782E2B"/>
    <w:rsid w:val="007910ED"/>
    <w:rsid w:val="0079374B"/>
    <w:rsid w:val="00796AAB"/>
    <w:rsid w:val="00796CD4"/>
    <w:rsid w:val="00797B07"/>
    <w:rsid w:val="007A7006"/>
    <w:rsid w:val="007B4AF9"/>
    <w:rsid w:val="007D6ECF"/>
    <w:rsid w:val="007E2F5F"/>
    <w:rsid w:val="007E4C78"/>
    <w:rsid w:val="007F0362"/>
    <w:rsid w:val="007F42B6"/>
    <w:rsid w:val="00802F0E"/>
    <w:rsid w:val="00813E7B"/>
    <w:rsid w:val="00820AED"/>
    <w:rsid w:val="008230EB"/>
    <w:rsid w:val="00832666"/>
    <w:rsid w:val="008728E5"/>
    <w:rsid w:val="008A67CD"/>
    <w:rsid w:val="008B11D2"/>
    <w:rsid w:val="008B2EE8"/>
    <w:rsid w:val="008B6CED"/>
    <w:rsid w:val="008C58F8"/>
    <w:rsid w:val="008D4C75"/>
    <w:rsid w:val="008E32F3"/>
    <w:rsid w:val="008F1B20"/>
    <w:rsid w:val="0090120D"/>
    <w:rsid w:val="00924390"/>
    <w:rsid w:val="009309BE"/>
    <w:rsid w:val="00934919"/>
    <w:rsid w:val="0093782D"/>
    <w:rsid w:val="00940F1B"/>
    <w:rsid w:val="009502C8"/>
    <w:rsid w:val="009655FA"/>
    <w:rsid w:val="0098636B"/>
    <w:rsid w:val="00991936"/>
    <w:rsid w:val="0099731E"/>
    <w:rsid w:val="009A167C"/>
    <w:rsid w:val="009A7137"/>
    <w:rsid w:val="009E1E85"/>
    <w:rsid w:val="009E3F25"/>
    <w:rsid w:val="00A13513"/>
    <w:rsid w:val="00A1678D"/>
    <w:rsid w:val="00A23D0F"/>
    <w:rsid w:val="00A26FC9"/>
    <w:rsid w:val="00A300A8"/>
    <w:rsid w:val="00A307B4"/>
    <w:rsid w:val="00A335C2"/>
    <w:rsid w:val="00A35826"/>
    <w:rsid w:val="00A36123"/>
    <w:rsid w:val="00A507C4"/>
    <w:rsid w:val="00A51CFC"/>
    <w:rsid w:val="00A53E44"/>
    <w:rsid w:val="00A710EB"/>
    <w:rsid w:val="00AB4FAF"/>
    <w:rsid w:val="00AC2195"/>
    <w:rsid w:val="00AC658A"/>
    <w:rsid w:val="00AE349E"/>
    <w:rsid w:val="00AE4285"/>
    <w:rsid w:val="00AF02E7"/>
    <w:rsid w:val="00AF249F"/>
    <w:rsid w:val="00AF4A2A"/>
    <w:rsid w:val="00AF59DF"/>
    <w:rsid w:val="00AF781B"/>
    <w:rsid w:val="00B13B8E"/>
    <w:rsid w:val="00B166AB"/>
    <w:rsid w:val="00B166E4"/>
    <w:rsid w:val="00B33158"/>
    <w:rsid w:val="00B75284"/>
    <w:rsid w:val="00BA1764"/>
    <w:rsid w:val="00BA2818"/>
    <w:rsid w:val="00BA5B86"/>
    <w:rsid w:val="00BB6531"/>
    <w:rsid w:val="00BC0C09"/>
    <w:rsid w:val="00BE0F04"/>
    <w:rsid w:val="00BF09E8"/>
    <w:rsid w:val="00BF6890"/>
    <w:rsid w:val="00C35843"/>
    <w:rsid w:val="00C4452F"/>
    <w:rsid w:val="00C45800"/>
    <w:rsid w:val="00C63C4F"/>
    <w:rsid w:val="00C807CF"/>
    <w:rsid w:val="00C8103C"/>
    <w:rsid w:val="00C94ADA"/>
    <w:rsid w:val="00C95A1C"/>
    <w:rsid w:val="00CB61ED"/>
    <w:rsid w:val="00CC5073"/>
    <w:rsid w:val="00CD4465"/>
    <w:rsid w:val="00CD66C1"/>
    <w:rsid w:val="00CE1026"/>
    <w:rsid w:val="00CF36F4"/>
    <w:rsid w:val="00D56035"/>
    <w:rsid w:val="00D859C2"/>
    <w:rsid w:val="00D941C4"/>
    <w:rsid w:val="00DA34D4"/>
    <w:rsid w:val="00DA595F"/>
    <w:rsid w:val="00DB2504"/>
    <w:rsid w:val="00DB3231"/>
    <w:rsid w:val="00DB3C62"/>
    <w:rsid w:val="00DB531C"/>
    <w:rsid w:val="00DC0D29"/>
    <w:rsid w:val="00DC53BC"/>
    <w:rsid w:val="00DD1E81"/>
    <w:rsid w:val="00DD6F11"/>
    <w:rsid w:val="00DF5182"/>
    <w:rsid w:val="00E0094A"/>
    <w:rsid w:val="00E0250C"/>
    <w:rsid w:val="00E24367"/>
    <w:rsid w:val="00E35C9B"/>
    <w:rsid w:val="00E37716"/>
    <w:rsid w:val="00E42F77"/>
    <w:rsid w:val="00E46472"/>
    <w:rsid w:val="00E471DA"/>
    <w:rsid w:val="00E52140"/>
    <w:rsid w:val="00E5732D"/>
    <w:rsid w:val="00E63B00"/>
    <w:rsid w:val="00E71F0B"/>
    <w:rsid w:val="00E87589"/>
    <w:rsid w:val="00E9784F"/>
    <w:rsid w:val="00EA19D7"/>
    <w:rsid w:val="00EA7E6A"/>
    <w:rsid w:val="00EB17DE"/>
    <w:rsid w:val="00EB262E"/>
    <w:rsid w:val="00ED552C"/>
    <w:rsid w:val="00ED7A61"/>
    <w:rsid w:val="00EF555C"/>
    <w:rsid w:val="00F0060C"/>
    <w:rsid w:val="00F1618E"/>
    <w:rsid w:val="00F204F1"/>
    <w:rsid w:val="00F22126"/>
    <w:rsid w:val="00F246FD"/>
    <w:rsid w:val="00F309EE"/>
    <w:rsid w:val="00F515F7"/>
    <w:rsid w:val="00F51F68"/>
    <w:rsid w:val="00F92771"/>
    <w:rsid w:val="00F947BA"/>
    <w:rsid w:val="00FA0932"/>
    <w:rsid w:val="00FA1256"/>
    <w:rsid w:val="00FA48D2"/>
    <w:rsid w:val="00FB04F4"/>
    <w:rsid w:val="00FB33A8"/>
    <w:rsid w:val="00FB5407"/>
    <w:rsid w:val="00FC453B"/>
    <w:rsid w:val="00FC6BC1"/>
    <w:rsid w:val="00FD700D"/>
    <w:rsid w:val="00FE514D"/>
    <w:rsid w:val="00FE5AE6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0BBB3-9007-472E-9FBC-902FB4EE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Fidel Cuba Inga</dc:creator>
  <cp:lastModifiedBy>asaona</cp:lastModifiedBy>
  <cp:revision>2</cp:revision>
  <cp:lastPrinted>2016-05-16T21:22:00Z</cp:lastPrinted>
  <dcterms:created xsi:type="dcterms:W3CDTF">2018-07-31T18:53:00Z</dcterms:created>
  <dcterms:modified xsi:type="dcterms:W3CDTF">2018-07-31T18:53:00Z</dcterms:modified>
</cp:coreProperties>
</file>